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autoSpaceDE w:val="false"/>
        <w:autoSpaceDN w:val="false"/>
        <w:adjustRightInd w:val="false"/>
        <w:spacing w:after="0" w:lineRule="auto" w:line="240"/>
        <w:ind w:right="-79"/>
        <w:jc w:val="right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Фор</w:t>
      </w:r>
      <w:r>
        <w:rPr>
          <w:rFonts w:ascii="Times New Roman" w:hAnsi="Times New Roman"/>
          <w:b/>
          <w:bCs/>
          <w:spacing w:val="1"/>
          <w:sz w:val="24"/>
          <w:szCs w:val="24"/>
          <w:lang w:eastAsia="ru-RU"/>
        </w:rPr>
        <w:t>м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а</w:t>
      </w:r>
      <w:r>
        <w:rPr>
          <w:rFonts w:ascii="Times New Roman" w:hAnsi="Times New Roman"/>
          <w:b/>
          <w:bCs/>
          <w:spacing w:val="-8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1</w:t>
      </w:r>
    </w:p>
    <w:p>
      <w:pPr>
        <w:pStyle w:val="style4097"/>
        <w:jc w:val="center"/>
        <w:rPr>
          <w:color w:val="auto"/>
        </w:rPr>
      </w:pPr>
      <w:r>
        <w:rPr>
          <w:b/>
          <w:bCs/>
          <w:color w:val="auto"/>
        </w:rPr>
        <w:t>ЗАЯВКА</w:t>
      </w:r>
    </w:p>
    <w:p>
      <w:pPr>
        <w:pStyle w:val="style4097"/>
        <w:jc w:val="center"/>
        <w:rPr>
          <w:color w:val="auto"/>
        </w:rPr>
      </w:pPr>
      <w:r>
        <w:rPr>
          <w:b/>
          <w:bCs/>
          <w:color w:val="auto"/>
        </w:rPr>
        <w:t>на участие в</w:t>
      </w:r>
      <w:r>
        <w:rPr>
          <w:b/>
          <w:bCs/>
          <w:color w:val="auto"/>
        </w:rPr>
        <w:t>о</w:t>
      </w:r>
      <w:r>
        <w:rPr>
          <w:b/>
          <w:bCs/>
          <w:color w:val="auto"/>
        </w:rPr>
        <w:t xml:space="preserve"> </w:t>
      </w:r>
      <w:r>
        <w:rPr>
          <w:b/>
          <w:bCs/>
          <w:color w:val="auto"/>
        </w:rPr>
        <w:t>Всероссийской</w:t>
      </w:r>
      <w:r>
        <w:rPr>
          <w:b/>
          <w:bCs/>
          <w:color w:val="auto"/>
        </w:rPr>
        <w:t xml:space="preserve"> научно-практической конференции «</w:t>
      </w:r>
      <w:r>
        <w:rPr>
          <w:b/>
          <w:bCs/>
          <w:color w:val="auto"/>
          <w:lang w:val="en-US"/>
        </w:rPr>
        <w:t>VI</w:t>
      </w:r>
      <w:r>
        <w:rPr>
          <w:b/>
          <w:bCs/>
          <w:color w:val="auto"/>
        </w:rPr>
        <w:t xml:space="preserve">II </w:t>
      </w:r>
      <w:r>
        <w:rPr>
          <w:b/>
          <w:bCs/>
          <w:color w:val="auto"/>
        </w:rPr>
        <w:t>Линтуловские</w:t>
      </w:r>
      <w:r>
        <w:rPr>
          <w:b/>
          <w:bCs/>
          <w:color w:val="auto"/>
        </w:rPr>
        <w:t xml:space="preserve"> чтения</w:t>
      </w:r>
      <w:r>
        <w:rPr>
          <w:b/>
          <w:bCs/>
          <w:color w:val="auto"/>
        </w:rPr>
        <w:t xml:space="preserve">» </w:t>
      </w:r>
      <w:r>
        <w:rPr>
          <w:b/>
          <w:bCs/>
          <w:color w:val="auto"/>
        </w:rPr>
        <w:t>1</w:t>
      </w:r>
      <w:r>
        <w:rPr>
          <w:b/>
          <w:bCs/>
          <w:color w:val="auto"/>
        </w:rPr>
        <w:t>4-</w:t>
      </w:r>
      <w:r>
        <w:rPr>
          <w:b/>
          <w:bCs/>
          <w:color w:val="auto"/>
        </w:rPr>
        <w:t>1</w:t>
      </w:r>
      <w:r>
        <w:rPr>
          <w:b/>
          <w:bCs/>
          <w:color w:val="auto"/>
        </w:rPr>
        <w:t xml:space="preserve">5 </w:t>
      </w:r>
      <w:r>
        <w:rPr>
          <w:b/>
          <w:bCs/>
          <w:color w:val="auto"/>
        </w:rPr>
        <w:t>дека</w:t>
      </w:r>
      <w:r>
        <w:rPr>
          <w:b/>
          <w:bCs/>
          <w:color w:val="auto"/>
        </w:rPr>
        <w:t xml:space="preserve">бря </w:t>
      </w:r>
      <w:r>
        <w:rPr>
          <w:b/>
          <w:bCs/>
          <w:color w:val="auto"/>
        </w:rPr>
        <w:t xml:space="preserve">2024 года 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ind w:right="-79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style4100"/>
        <w:tblW w:w="5000" w:type="pct"/>
        <w:tblLook w:val="04A0" w:firstRow="1" w:lastRow="0" w:firstColumn="1" w:lastColumn="0" w:noHBand="0" w:noVBand="1"/>
      </w:tblPr>
      <w:tblGrid>
        <w:gridCol w:w="2885"/>
        <w:gridCol w:w="6969"/>
      </w:tblGrid>
      <w:tr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Информация об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ответственном за публикацию и доклад контактном лице</w:t>
            </w:r>
          </w:p>
        </w:tc>
        <w:tc>
          <w:tcPr>
            <w:tcW w:w="3536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Комментарий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color w:val="3d3d3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Фамилия, имя, отчество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контактного лица</w:t>
            </w:r>
          </w:p>
        </w:tc>
        <w:tc>
          <w:tcPr>
            <w:tcW w:w="3536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Указываем полностью Фамилию Имя Отчество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Электронный адрес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контактного лица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этот адрес будет выслан сертификат участника и сборник статей.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Телефон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контактного лица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связи по вопросам участия и публикации</w:t>
            </w:r>
          </w:p>
        </w:tc>
      </w:tr>
      <w:tr>
        <w:tblPrEx/>
        <w:trPr/>
        <w:tc>
          <w:tcPr>
            <w:tcW w:w="5000" w:type="pct"/>
            <w:gridSpan w:val="2"/>
            <w:tcBorders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eastAsia="Times New Roman" w:hAnsi="Times New Roman"/>
                <w:color w:val="3d3d3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Информация о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 участниках и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публикации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color w:val="3d3d3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Фамилия, имя, отчество участника (участников) с указанием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учёной степени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должности (для обучающихся указывается – студент, аспирант)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Указание полного и сокращённого названия организации, адрес организации</w:t>
            </w:r>
          </w:p>
        </w:tc>
        <w:tc>
          <w:tcPr>
            <w:tcW w:w="3536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>
        <w:tblPrEx/>
        <w:trPr/>
        <w:tc>
          <w:tcPr>
            <w:tcW w:w="1464" w:type="pct"/>
            <w:tcBorders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секции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Секция 1. Теория и практика в декоративно-прикладном искусстве и народном творчестве.</w:t>
            </w:r>
          </w:p>
          <w:p>
            <w:pPr>
              <w:pStyle w:val="style0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Секция 2. Достижения обучающихся образовательных учреждений в предметной области декоративно-прикладного искусства и народного творчества.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УДАЛИТЬ НЕНУЖНОЕ!!!!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color w:val="3d3d3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статьи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заглавными буквами!!! Обычным шрифтом!</w:t>
            </w:r>
          </w:p>
        </w:tc>
      </w:tr>
      <w:tr>
        <w:tblPrEx/>
        <w:trPr/>
        <w:tc>
          <w:tcPr>
            <w:tcW w:w="1464" w:type="pct"/>
            <w:tcBorders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Формат участия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(выбрать нужное)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uppressAutoHyphens/>
              <w:spacing w:after="0" w:lineRule="auto" w:line="240"/>
              <w:contextualSpacing/>
              <w:rPr>
                <w:rFonts w:ascii="Times New Roman" w:eastAsia="Times New Roman" w:hAnsi="Times New Roman"/>
                <w:sz w:val="24"/>
                <w:szCs w:val="24"/>
                <w:lang w:bidi="th-TH" w:eastAsia="th-TH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bidi="th-TH" w:eastAsia="th-TH"/>
              </w:rPr>
              <w:t xml:space="preserve">очное участие (выступление на конференции с докладом),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bidi="th-TH" w:eastAsia="th-TH"/>
              </w:rPr>
              <w:t>on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bidi="th-TH" w:eastAsia="th-TH"/>
              </w:rPr>
              <w:t>-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bidi="th-TH" w:eastAsia="th-TH"/>
              </w:rPr>
              <w:t>line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bidi="th-TH" w:eastAsia="th-TH"/>
              </w:rPr>
              <w:t xml:space="preserve"> участие, заочное участие (только публикация статьи)</w:t>
            </w:r>
          </w:p>
        </w:tc>
      </w:tr>
    </w:tbl>
    <w:p>
      <w:pPr>
        <w:pStyle w:val="style0"/>
        <w:shd w:val="clear" w:color="auto" w:fill="ffffff"/>
        <w:rPr>
          <w:rFonts w:ascii="Times New Roman" w:hAnsi="Times New Roman"/>
          <w:b/>
          <w:bCs/>
          <w:sz w:val="24"/>
          <w:szCs w:val="24"/>
        </w:rPr>
      </w:pPr>
    </w:p>
    <w:p>
      <w:pPr>
        <w:pStyle w:val="style0"/>
        <w:shd w:val="clear" w:color="auto" w:fill="ffffff"/>
        <w:spacing w:after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Файлы с заявками и публикациями делаются отдельн</w:t>
      </w:r>
      <w:r>
        <w:rPr>
          <w:rFonts w:ascii="Times New Roman" w:hAnsi="Times New Roman"/>
          <w:bCs/>
          <w:sz w:val="28"/>
          <w:szCs w:val="28"/>
        </w:rPr>
        <w:t>ыми файлами</w:t>
      </w:r>
      <w:r>
        <w:rPr>
          <w:rFonts w:ascii="Times New Roman" w:hAnsi="Times New Roman"/>
          <w:bCs/>
          <w:sz w:val="28"/>
          <w:szCs w:val="28"/>
        </w:rPr>
        <w:t xml:space="preserve"> и по-разному именуются. </w:t>
      </w:r>
      <w:r>
        <w:rPr>
          <w:rFonts w:ascii="Times New Roman" w:hAnsi="Times New Roman"/>
          <w:bCs/>
          <w:sz w:val="28"/>
          <w:szCs w:val="28"/>
        </w:rPr>
        <w:t xml:space="preserve">Например: 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Петров</w:t>
      </w:r>
      <w:r>
        <w:rPr>
          <w:rFonts w:ascii="Times New Roman" w:hAnsi="Times New Roman"/>
          <w:b/>
          <w:bCs/>
          <w:sz w:val="28"/>
          <w:szCs w:val="28"/>
        </w:rPr>
        <w:t xml:space="preserve"> А.С.,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Иванова М.И.-</w:t>
      </w:r>
      <w:r>
        <w:rPr>
          <w:rFonts w:ascii="Times New Roman" w:hAnsi="Times New Roman"/>
          <w:b/>
          <w:bCs/>
          <w:sz w:val="28"/>
          <w:szCs w:val="28"/>
        </w:rPr>
        <w:t>заявка</w:t>
      </w:r>
      <w:r>
        <w:rPr>
          <w:rFonts w:ascii="Times New Roman" w:hAnsi="Times New Roman"/>
          <w:b/>
          <w:bCs/>
          <w:sz w:val="28"/>
          <w:szCs w:val="28"/>
        </w:rPr>
        <w:t>-</w:t>
      </w:r>
      <w:r>
        <w:rPr>
          <w:rFonts w:ascii="Times New Roman" w:hAnsi="Times New Roman"/>
          <w:b/>
          <w:bCs/>
          <w:sz w:val="28"/>
          <w:szCs w:val="28"/>
        </w:rPr>
        <w:t>конф</w:t>
      </w:r>
      <w:r>
        <w:rPr>
          <w:rFonts w:ascii="Times New Roman" w:hAnsi="Times New Roman"/>
          <w:b/>
          <w:bCs/>
          <w:sz w:val="28"/>
          <w:szCs w:val="28"/>
        </w:rPr>
        <w:t xml:space="preserve">; </w:t>
      </w:r>
    </w:p>
    <w:p>
      <w:pPr>
        <w:pStyle w:val="style0"/>
        <w:shd w:val="clear" w:color="auto" w:fill="ffffff"/>
        <w:spacing w:after="0"/>
        <w:ind w:firstLine="3969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Петров А.С., Иванова М.И.-статья</w:t>
      </w:r>
      <w:r>
        <w:rPr>
          <w:rFonts w:ascii="Times New Roman" w:hAnsi="Times New Roman"/>
          <w:b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</w:t>
      </w:r>
    </w:p>
    <w:p>
      <w:pPr>
        <w:pStyle w:val="style0"/>
        <w:shd w:val="clear" w:color="auto" w:fill="ffffff"/>
        <w:spacing w:after="0"/>
        <w:rPr>
          <w:rFonts w:ascii="Times New Roman" w:hAnsi="Times New Roman"/>
          <w:bCs/>
          <w:sz w:val="28"/>
          <w:szCs w:val="28"/>
        </w:rPr>
      </w:pPr>
    </w:p>
    <w:p>
      <w:pPr>
        <w:pStyle w:val="style0"/>
        <w:shd w:val="clear" w:color="auto" w:fill="ffffff"/>
        <w:rPr>
          <w:rFonts w:ascii="Times New Roman" w:hAnsi="Times New Roman"/>
          <w:b/>
          <w:bCs/>
          <w:i/>
          <w:sz w:val="32"/>
          <w:szCs w:val="32"/>
        </w:rPr>
      </w:pPr>
      <w:r>
        <w:rPr>
          <w:rFonts w:ascii="Times New Roman" w:hAnsi="Times New Roman"/>
          <w:b/>
          <w:bCs/>
          <w:i/>
          <w:sz w:val="32"/>
          <w:szCs w:val="32"/>
        </w:rPr>
        <w:t>Пример оформления заявки</w:t>
      </w:r>
      <w:r>
        <w:rPr>
          <w:rFonts w:ascii="Times New Roman" w:hAnsi="Times New Roman"/>
          <w:b/>
          <w:bCs/>
          <w:i/>
          <w:sz w:val="32"/>
          <w:szCs w:val="32"/>
        </w:rPr>
        <w:t xml:space="preserve"> см. ниже!!!</w:t>
      </w:r>
    </w:p>
    <w:p>
      <w:pPr>
        <w:pStyle w:val="style0"/>
        <w:spacing w:after="0" w:lineRule="auto" w:line="24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br w:type="page"/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ind w:right="-79"/>
        <w:jc w:val="right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Фор</w:t>
      </w:r>
      <w:r>
        <w:rPr>
          <w:rFonts w:ascii="Times New Roman" w:hAnsi="Times New Roman"/>
          <w:b/>
          <w:bCs/>
          <w:spacing w:val="1"/>
          <w:sz w:val="24"/>
          <w:szCs w:val="24"/>
          <w:lang w:eastAsia="ru-RU"/>
        </w:rPr>
        <w:t>м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а</w:t>
      </w:r>
      <w:r>
        <w:rPr>
          <w:rFonts w:ascii="Times New Roman" w:hAnsi="Times New Roman"/>
          <w:b/>
          <w:bCs/>
          <w:spacing w:val="-8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1</w:t>
      </w:r>
    </w:p>
    <w:p>
      <w:pPr>
        <w:pStyle w:val="style4097"/>
        <w:jc w:val="center"/>
        <w:rPr>
          <w:color w:val="auto"/>
        </w:rPr>
      </w:pPr>
      <w:r>
        <w:rPr>
          <w:b/>
          <w:bCs/>
          <w:color w:val="ff0000"/>
        </w:rPr>
        <w:t>ПРИМЕР:</w:t>
      </w:r>
      <w:r>
        <w:rPr>
          <w:b/>
          <w:bCs/>
          <w:color w:val="auto"/>
        </w:rPr>
        <w:t xml:space="preserve"> </w:t>
      </w:r>
      <w:r>
        <w:rPr>
          <w:b/>
          <w:bCs/>
          <w:color w:val="auto"/>
        </w:rPr>
        <w:t>ЗАЯВКА</w:t>
      </w:r>
    </w:p>
    <w:p>
      <w:pPr>
        <w:pStyle w:val="style4097"/>
        <w:jc w:val="center"/>
        <w:rPr>
          <w:color w:val="auto"/>
        </w:rPr>
      </w:pPr>
      <w:r>
        <w:rPr>
          <w:b/>
          <w:bCs/>
          <w:color w:val="auto"/>
        </w:rPr>
        <w:t xml:space="preserve">на участие в </w:t>
      </w:r>
      <w:r>
        <w:rPr>
          <w:b/>
          <w:bCs/>
          <w:color w:val="auto"/>
        </w:rPr>
        <w:t xml:space="preserve">Международной научно-практической конференции «II </w:t>
      </w:r>
      <w:r>
        <w:rPr>
          <w:b/>
          <w:bCs/>
          <w:color w:val="auto"/>
        </w:rPr>
        <w:t>Сольбинские</w:t>
      </w:r>
      <w:r>
        <w:rPr>
          <w:b/>
          <w:bCs/>
          <w:color w:val="auto"/>
        </w:rPr>
        <w:t xml:space="preserve"> чтения: Традиции и новаторство в декоративно-прикладном искусстве и народном творчестве» </w:t>
      </w:r>
      <w:r>
        <w:rPr>
          <w:b/>
          <w:bCs/>
          <w:color w:val="auto"/>
        </w:rPr>
        <w:t xml:space="preserve">24-25 ноября </w:t>
      </w:r>
      <w:r>
        <w:rPr>
          <w:b/>
          <w:bCs/>
          <w:color w:val="auto"/>
        </w:rPr>
        <w:t>2024 года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ind w:right="-79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style4100"/>
        <w:tblW w:w="5000" w:type="pct"/>
        <w:tblLook w:val="04A0" w:firstRow="1" w:lastRow="0" w:firstColumn="1" w:lastColumn="0" w:noHBand="0" w:noVBand="1"/>
      </w:tblPr>
      <w:tblGrid>
        <w:gridCol w:w="2885"/>
        <w:gridCol w:w="6969"/>
      </w:tblGrid>
      <w:tr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Информация об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ответственном за публикацию и доклад контактном лице</w:t>
            </w:r>
          </w:p>
        </w:tc>
        <w:tc>
          <w:tcPr>
            <w:tcW w:w="3536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Комментарий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color w:val="3d3d3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Фамилия, имя, отчество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контактного лица</w:t>
            </w:r>
          </w:p>
        </w:tc>
        <w:tc>
          <w:tcPr>
            <w:tcW w:w="3536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Петров Александр Сергеевич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Электронный адрес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контактного лица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adres@mail.ru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Телефон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контактного лица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+7-926-000-00-00</w:t>
            </w:r>
          </w:p>
        </w:tc>
      </w:tr>
      <w:tr>
        <w:tblPrEx/>
        <w:trPr/>
        <w:tc>
          <w:tcPr>
            <w:tcW w:w="5000" w:type="pct"/>
            <w:gridSpan w:val="2"/>
            <w:tcBorders/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eastAsia="Times New Roman" w:hAnsi="Times New Roman"/>
                <w:color w:val="3d3d3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Информация о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 участниках и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публикации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color w:val="3d3d3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Фамилия, имя, отчество участника (участников) с указанием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учёной степени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должности (для обучающихся указывается – студент, аспирант)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Указание полного и сокращённого названия организации, адрес организации</w:t>
            </w:r>
          </w:p>
        </w:tc>
        <w:tc>
          <w:tcPr>
            <w:tcW w:w="3536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1)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Петров Александр Сергеевич, доцент, канд.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наук</w:t>
            </w: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 Сидоров Иван Петрович, студент (магистрант, аспирант)</w:t>
            </w: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«Российский государственный университет им. А.Н. Косыгина (Технологии. Дизайн. Искусство)»</w:t>
            </w: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ФГБОУ ВО «РГУ им. А.Н. Косыгина»; РГУ им. А.Н. Косыгина; Университет Косыгина</w:t>
            </w: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115035, г. Москва, ул. Садовническая, д. 33, стр. 1</w:t>
            </w: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3) Иванова Александра Сергеевна, профессор, д-р искусствоведения</w:t>
            </w: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Образовательное частное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учреждение высшего образования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Православный Свято-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Тихоновский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гуманитарный университет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ОЧУ ПСТГУ</w:t>
            </w:r>
          </w:p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115184, г. Москва, ул. Новокузнецкая д. 23Б</w:t>
            </w:r>
          </w:p>
        </w:tc>
      </w:tr>
      <w:tr>
        <w:tblPrEx/>
        <w:trPr/>
        <w:tc>
          <w:tcPr>
            <w:tcW w:w="1464" w:type="pct"/>
            <w:tcBorders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секции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Секция 1. Теория и практика в декоративно-прикладном искусстве и народном творчестве.</w:t>
            </w:r>
          </w:p>
        </w:tc>
      </w:tr>
      <w:tr>
        <w:tblPrEx/>
        <w:trPr/>
        <w:tc>
          <w:tcPr>
            <w:tcW w:w="1464" w:type="pct"/>
            <w:tcBorders/>
            <w:hideMark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color w:val="3d3d3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Название статьи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Вышивка на культовых предметах</w:t>
            </w:r>
          </w:p>
        </w:tc>
      </w:tr>
      <w:tr>
        <w:tblPrEx/>
        <w:trPr/>
        <w:tc>
          <w:tcPr>
            <w:tcW w:w="1464" w:type="pct"/>
            <w:tcBorders/>
          </w:tcPr>
          <w:p>
            <w:pPr>
              <w:pStyle w:val="style0"/>
              <w:spacing w:after="0" w:lineRule="auto" w:line="2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Формат участия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(выбрать нужное)</w:t>
            </w:r>
          </w:p>
        </w:tc>
        <w:tc>
          <w:tcPr>
            <w:tcW w:w="3536" w:type="pct"/>
            <w:tcBorders/>
          </w:tcPr>
          <w:p>
            <w:pPr>
              <w:pStyle w:val="style0"/>
              <w:suppressAutoHyphens/>
              <w:spacing w:after="0" w:lineRule="auto" w:line="240"/>
              <w:contextualSpacing/>
              <w:rPr>
                <w:rFonts w:ascii="Times New Roman" w:eastAsia="Times New Roman" w:hAnsi="Times New Roman"/>
                <w:sz w:val="24"/>
                <w:szCs w:val="24"/>
                <w:lang w:bidi="th-TH" w:eastAsia="th-TH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bidi="th-TH" w:eastAsia="th-TH"/>
              </w:rPr>
              <w:t>очное участие (выступле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bidi="th-TH" w:eastAsia="th-TH"/>
              </w:rPr>
              <w:t>ние на конференции с докладом)</w:t>
            </w:r>
          </w:p>
        </w:tc>
      </w:tr>
    </w:tbl>
    <w:p>
      <w:pPr>
        <w:pStyle w:val="style0"/>
        <w:shd w:val="clear" w:color="auto" w:fill="ffffff"/>
        <w:spacing w:after="0"/>
        <w:rPr>
          <w:rFonts w:ascii="Times New Roman" w:hAnsi="Times New Roman"/>
          <w:bCs/>
          <w:sz w:val="28"/>
          <w:szCs w:val="28"/>
        </w:rPr>
      </w:pPr>
    </w:p>
    <w:p>
      <w:pPr>
        <w:pStyle w:val="style0"/>
        <w:shd w:val="clear" w:color="auto" w:fill="ffffff"/>
        <w:spacing w:after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Файл с заявкой именуем: </w:t>
      </w:r>
      <w:r>
        <w:rPr>
          <w:rFonts w:ascii="Times New Roman" w:hAnsi="Times New Roman"/>
          <w:bCs/>
          <w:sz w:val="28"/>
          <w:szCs w:val="28"/>
        </w:rPr>
        <w:t>ПетровА.С.,СидоровИ.П.</w:t>
      </w:r>
      <w:r>
        <w:rPr>
          <w:rFonts w:ascii="Times New Roman" w:hAnsi="Times New Roman"/>
          <w:bCs/>
          <w:sz w:val="28"/>
          <w:szCs w:val="28"/>
        </w:rPr>
        <w:t>,</w:t>
      </w:r>
      <w:r>
        <w:rPr>
          <w:rFonts w:ascii="Times New Roman" w:hAnsi="Times New Roman"/>
          <w:bCs/>
          <w:sz w:val="28"/>
          <w:szCs w:val="28"/>
        </w:rPr>
        <w:t>ИвановаА.С</w:t>
      </w:r>
      <w:r>
        <w:rPr>
          <w:rFonts w:ascii="Times New Roman" w:hAnsi="Times New Roman"/>
          <w:bCs/>
          <w:sz w:val="28"/>
          <w:szCs w:val="28"/>
        </w:rPr>
        <w:t>.-заявка</w:t>
      </w:r>
      <w:r>
        <w:rPr>
          <w:rFonts w:ascii="Times New Roman" w:hAnsi="Times New Roman"/>
          <w:bCs/>
          <w:sz w:val="28"/>
          <w:szCs w:val="28"/>
        </w:rPr>
        <w:t>-</w:t>
      </w:r>
      <w:r>
        <w:rPr>
          <w:rFonts w:ascii="Times New Roman" w:hAnsi="Times New Roman"/>
          <w:bCs/>
          <w:sz w:val="28"/>
          <w:szCs w:val="28"/>
        </w:rPr>
        <w:t>конф</w:t>
      </w:r>
    </w:p>
    <w:p>
      <w:pPr>
        <w:pStyle w:val="style0"/>
        <w:shd w:val="clear" w:color="auto" w:fill="ffffff"/>
        <w:spacing w:after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Файл со статьёй именуем: </w:t>
      </w:r>
      <w:r>
        <w:rPr>
          <w:rFonts w:ascii="Times New Roman" w:hAnsi="Times New Roman"/>
          <w:bCs/>
          <w:sz w:val="28"/>
          <w:szCs w:val="28"/>
        </w:rPr>
        <w:t>ПетровА.С.,СидоровИ.П.</w:t>
      </w:r>
      <w:r>
        <w:rPr>
          <w:rFonts w:ascii="Times New Roman" w:hAnsi="Times New Roman"/>
          <w:bCs/>
          <w:sz w:val="28"/>
          <w:szCs w:val="28"/>
        </w:rPr>
        <w:t>,</w:t>
      </w:r>
      <w:r>
        <w:rPr>
          <w:rFonts w:ascii="Times New Roman" w:hAnsi="Times New Roman"/>
          <w:bCs/>
          <w:sz w:val="28"/>
          <w:szCs w:val="28"/>
        </w:rPr>
        <w:t>ИвановаА.С</w:t>
      </w:r>
      <w:r>
        <w:rPr>
          <w:rFonts w:ascii="Times New Roman" w:hAnsi="Times New Roman"/>
          <w:bCs/>
          <w:sz w:val="28"/>
          <w:szCs w:val="28"/>
        </w:rPr>
        <w:t>.-статья</w:t>
      </w:r>
    </w:p>
    <w:p>
      <w:pPr>
        <w:pStyle w:val="style0"/>
        <w:shd w:val="clear" w:color="auto" w:fill="ffffff"/>
        <w:spacing w:after="0"/>
        <w:rPr>
          <w:rFonts w:ascii="Times New Roman" w:hAnsi="Times New Roman"/>
          <w:bCs/>
          <w:sz w:val="28"/>
          <w:szCs w:val="28"/>
        </w:rPr>
      </w:pPr>
    </w:p>
    <w:p>
      <w:pPr>
        <w:pStyle w:val="style0"/>
        <w:spacing w:after="0" w:lineRule="auto" w:line="24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br w:type="page"/>
      </w:r>
    </w:p>
    <w:p>
      <w:pPr>
        <w:pStyle w:val="style0"/>
        <w:shd w:val="clear" w:color="auto" w:fill="ffffff"/>
        <w:spacing w:after="0"/>
        <w:rPr>
          <w:rFonts w:ascii="Times New Roman" w:hAnsi="Times New Roman"/>
          <w:bCs/>
          <w:sz w:val="28"/>
          <w:szCs w:val="28"/>
        </w:rPr>
      </w:pPr>
    </w:p>
    <w:p>
      <w:pPr>
        <w:pStyle w:val="style0"/>
        <w:shd w:val="clear" w:color="auto" w:fill="ffffff"/>
        <w:rPr>
          <w:rFonts w:ascii="Times New Roman" w:hAnsi="Times New Roman"/>
          <w:b/>
          <w:bCs/>
          <w:i/>
          <w:sz w:val="32"/>
          <w:szCs w:val="32"/>
        </w:rPr>
      </w:pPr>
      <w:r>
        <w:rPr>
          <w:rFonts w:ascii="Times New Roman" w:hAnsi="Times New Roman"/>
          <w:b/>
          <w:bCs/>
          <w:i/>
          <w:sz w:val="32"/>
          <w:szCs w:val="32"/>
        </w:rPr>
        <w:t>Требования к оформлению публикаций см. ниже!!!</w:t>
      </w:r>
    </w:p>
    <w:p>
      <w:pPr>
        <w:pStyle w:val="style0"/>
        <w:shd w:val="clear" w:color="auto" w:fill="ffffff"/>
        <w:rPr>
          <w:rFonts w:ascii="Times New Roman" w:hAnsi="Times New Roman"/>
          <w:bCs/>
          <w:sz w:val="28"/>
          <w:szCs w:val="28"/>
        </w:rPr>
      </w:pPr>
    </w:p>
    <w:p>
      <w:pPr>
        <w:pStyle w:val="style0"/>
        <w:spacing w:after="0" w:lineRule="auto" w:line="240"/>
        <w:jc w:val="right"/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ТРЕБОВАНИЯ К ОФОРМЛЕНИЮ </w:t>
      </w: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статей</w:t>
      </w: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   </w:t>
      </w: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>(</w:t>
      </w: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 xml:space="preserve">Форма </w:t>
      </w: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>2</w:t>
      </w:r>
      <w:bookmarkStart w:id="0" w:name="_GoBack"/>
      <w:bookmarkEnd w:id="0"/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>)</w:t>
      </w:r>
    </w:p>
    <w:p>
      <w:pPr>
        <w:pStyle w:val="style0"/>
        <w:spacing w:after="0" w:lineRule="auto" w:line="240"/>
        <w:jc w:val="right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Объем статьи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: от 2-х до 10-ти страниц.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Рабочие языки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: русский, английский.</w:t>
      </w: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 xml:space="preserve">Текстовый редактор: </w:t>
      </w:r>
      <w:r>
        <w:rPr>
          <w:rFonts w:ascii="Times New Roman" w:eastAsia="Times New Roman" w:hAnsi="Times New Roman"/>
          <w:sz w:val="24"/>
          <w:szCs w:val="25"/>
          <w:lang w:val="en-US" w:eastAsia="ru-RU"/>
        </w:rPr>
        <w:t>MS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5"/>
          <w:lang w:val="en-US" w:eastAsia="ru-RU"/>
        </w:rPr>
        <w:t>Word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 xml:space="preserve">Формат: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А4 (210х297), книжный.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Поля: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все поля по 20 мм.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 xml:space="preserve">Шрифт: </w:t>
      </w:r>
      <w:r>
        <w:rPr>
          <w:rFonts w:ascii="Times New Roman" w:eastAsia="Times New Roman" w:hAnsi="Times New Roman"/>
          <w:sz w:val="24"/>
          <w:szCs w:val="25"/>
          <w:lang w:val="en-US" w:eastAsia="ru-RU"/>
        </w:rPr>
        <w:t>Times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5"/>
          <w:lang w:val="en-US" w:eastAsia="ru-RU"/>
        </w:rPr>
        <w:t>New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5"/>
          <w:lang w:val="en-US" w:eastAsia="ru-RU"/>
        </w:rPr>
        <w:t>Roman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 xml:space="preserve">Размер шрифта (кегль):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12 пт.</w:t>
      </w: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Междустрочный интервал: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одинарный.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Выравнивание текста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: по ширине.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Абзацный отступ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: 1 см, до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пускается расстановка переносов, кроме переноса в заголовках, подрисуночных и табличных подписях.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Межзнаковый интервал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: обычный.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Межсловный</w:t>
      </w:r>
      <w:r>
        <w:rPr>
          <w:rFonts w:ascii="Times New Roman" w:eastAsia="Times New Roman" w:hAnsi="Times New Roman"/>
          <w:b/>
          <w:sz w:val="24"/>
          <w:szCs w:val="25"/>
          <w:lang w:eastAsia="ru-RU"/>
        </w:rPr>
        <w:t xml:space="preserve"> пробел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: один знак.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Допустимые выделения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: курсив, полужирный.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b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Тире и кавычки должны быть одинакового начертания по всему тексту «вот такие».</w:t>
      </w:r>
    </w:p>
    <w:p>
      <w:pPr>
        <w:pStyle w:val="style0"/>
        <w:spacing w:after="0" w:lineRule="auto" w:line="240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 xml:space="preserve">Номера страниц: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внизу, в центре.</w:t>
      </w: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 xml:space="preserve">Рисунки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представ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ляются в тексте статьи в формате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JPG. Нумерация обязательна.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Подрисуночные подписи в формате: </w:t>
      </w:r>
      <w:r>
        <w:rPr>
          <w:rFonts w:ascii="Times New Roman" w:eastAsia="Times New Roman" w:hAnsi="Times New Roman"/>
          <w:b/>
          <w:i/>
          <w:sz w:val="24"/>
          <w:szCs w:val="25"/>
          <w:lang w:eastAsia="ru-RU"/>
        </w:rPr>
        <w:t>Рисунок 1 (тире) Название рисунка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без точки в конце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Текст не должен быть загромождён рисунками. Разрешение рисунков необходимо сжать «для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интернета и экранов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», то есть не более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150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пикселей на дюйм.</w:t>
      </w: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 xml:space="preserve">Таблицы и формулы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размещаются по тексту. Нумерация обязательна.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Форма названия таблиц аналогична названиям рисунков.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Не допускается использование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таблиц с альбомной ориентацией, или их необходимо вставить как отсканированный рисунок.</w:t>
      </w: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Подстрочные ссылки и примечания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НЕ ДОПУСКАЮТСЯ!!!! Всё прописываем и комментируем в тексте статьи!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На </w:t>
      </w: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ВСЕ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рисунки и таблицы в тексте должны быть ссылки в круглых скобках (рис.1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(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табл. 2).</w:t>
      </w:r>
    </w:p>
    <w:p>
      <w:pPr>
        <w:pStyle w:val="style0"/>
        <w:widowControl w:val="false"/>
        <w:shd w:val="clear" w:color="auto" w:fill="ffffff"/>
        <w:tabs>
          <w:tab w:val="left" w:leader="none" w:pos="6120"/>
        </w:tabs>
        <w:suppressAutoHyphens/>
        <w:spacing w:after="0" w:lineRule="auto" w:line="240"/>
        <w:ind w:left="14" w:right="24" w:firstLine="634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На </w:t>
      </w: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информационные источники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(хотя бы на некоторые) должны быть ссылки в тексте в квадратных скобках [10]. </w:t>
      </w:r>
    </w:p>
    <w:p>
      <w:pPr>
        <w:pStyle w:val="style0"/>
        <w:widowControl w:val="false"/>
        <w:shd w:val="clear" w:color="auto" w:fill="ffffff"/>
        <w:tabs>
          <w:tab w:val="left" w:leader="none" w:pos="6120"/>
        </w:tabs>
        <w:suppressAutoHyphens/>
        <w:spacing w:after="0" w:lineRule="auto" w:line="240"/>
        <w:ind w:left="14" w:right="24" w:firstLine="634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Статьи должны иметь индекс Универсальной десятичной классификации (УДК).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</w:t>
      </w: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 xml:space="preserve">УДК можно найти здесь: </w:t>
      </w:r>
    </w:p>
    <w:p>
      <w:pPr>
        <w:pStyle w:val="style0"/>
        <w:widowControl w:val="false"/>
        <w:shd w:val="clear" w:color="auto" w:fill="ffffff"/>
        <w:tabs>
          <w:tab w:val="left" w:leader="none" w:pos="6120"/>
        </w:tabs>
        <w:suppressAutoHyphens/>
        <w:spacing w:after="0" w:lineRule="auto" w:line="240"/>
        <w:ind w:right="24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https://www.teacode.com/online/udc/</w:t>
      </w:r>
    </w:p>
    <w:p>
      <w:pPr>
        <w:pStyle w:val="style0"/>
        <w:spacing w:after="0" w:lineRule="auto" w:line="240"/>
        <w:jc w:val="both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https://www.gyrnal.ru/udk/ru/</w:t>
      </w:r>
    </w:p>
    <w:p>
      <w:pPr>
        <w:pStyle w:val="style0"/>
        <w:spacing w:after="0" w:lineRule="auto" w:line="240"/>
        <w:ind w:firstLine="708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Далее следует название статьи (жирным шрифтом, прописными буквами), имя, отчество и фамилия авторов, название учреждения, в котором выполнено исследование, адреса электронной почты, аннотация и ключевые слова (на русском и английском языках).</w:t>
      </w:r>
    </w:p>
    <w:p>
      <w:pPr>
        <w:pStyle w:val="style0"/>
        <w:spacing w:after="0" w:lineRule="auto" w:line="240"/>
        <w:ind w:firstLine="708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АНТИПЛАГИАТ: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статьи будут выборочно проверены, весь сборник проверяется обязательно!!! Оригинальность – не менее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70%</w:t>
      </w:r>
    </w:p>
    <w:p>
      <w:pPr>
        <w:pStyle w:val="style0"/>
        <w:spacing w:after="0" w:lineRule="auto" w:line="240"/>
        <w:ind w:firstLine="708"/>
        <w:jc w:val="both"/>
        <w:rPr>
          <w:rFonts w:ascii="Times New Roman" w:eastAsia="Times New Roman" w:hAnsi="Times New Roman"/>
          <w:sz w:val="12"/>
          <w:szCs w:val="25"/>
          <w:lang w:eastAsia="ru-RU"/>
        </w:rPr>
      </w:pPr>
    </w:p>
    <w:p>
      <w:pPr>
        <w:pStyle w:val="style0"/>
        <w:spacing w:after="0" w:lineRule="auto" w:line="240"/>
        <w:ind w:firstLine="708"/>
        <w:jc w:val="center"/>
        <w:rPr>
          <w:rFonts w:ascii="Times New Roman" w:eastAsia="Times New Roman" w:hAnsi="Times New Roman"/>
          <w:b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>Пояснения к оформлению научной статьи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В верхнем левом углу проставляется индекс УДК.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Следующая строка пропускается.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Далее по центру название статьи прописными полужирными буквами, выровненными по центру листа (на русском и английском языках).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Следующая строка пропускается.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Далее – строчными, полужирными – имя, отчество и фамилия автора (авторов) (на русском и английском языках). 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Под ними, через строку – строчными – название организации, город (на русском и английском языках).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5"/>
          <w:lang w:eastAsia="ru-RU"/>
        </w:rPr>
        <w:t xml:space="preserve">Уменьшенными </w:t>
      </w:r>
      <w:r>
        <w:rPr>
          <w:rFonts w:ascii="Times New Roman" w:eastAsia="Times New Roman" w:hAnsi="Times New Roman"/>
          <w:b/>
          <w:i/>
          <w:sz w:val="24"/>
          <w:szCs w:val="25"/>
          <w:lang w:eastAsia="ru-RU"/>
        </w:rPr>
        <w:t xml:space="preserve">надстрочными </w:t>
      </w:r>
      <w:r>
        <w:rPr>
          <w:rFonts w:ascii="Times New Roman" w:eastAsia="Times New Roman" w:hAnsi="Times New Roman"/>
          <w:b/>
          <w:i/>
          <w:sz w:val="24"/>
          <w:szCs w:val="25"/>
          <w:lang w:eastAsia="ru-RU"/>
        </w:rPr>
        <w:t>цифрами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 указываем принадлежность авторов к их организациям. Если организация одна для всех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авторов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, то уменьшенные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надстрочные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цифры не проставляем.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Затем необходимо указать электронный адрес каждого автора статьи.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Следующая строка пропускается.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Затем аннотация на русском языке, не более 6 строк (</w:t>
      </w:r>
      <w:r>
        <w:rPr>
          <w:rFonts w:ascii="Times New Roman" w:eastAsia="Times New Roman" w:hAnsi="Times New Roman"/>
          <w:i/>
          <w:sz w:val="24"/>
          <w:szCs w:val="25"/>
          <w:lang w:eastAsia="ru-RU"/>
        </w:rPr>
        <w:t>Аннотация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).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Далее аннотация на английском языке (</w:t>
      </w:r>
      <w:r>
        <w:rPr>
          <w:rFonts w:ascii="Times New Roman" w:eastAsia="Times New Roman" w:hAnsi="Times New Roman"/>
          <w:i/>
          <w:sz w:val="24"/>
          <w:szCs w:val="25"/>
          <w:lang w:eastAsia="ru-RU"/>
        </w:rPr>
        <w:t>Аbstract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) 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Затем ключевые слова на русском языке (</w:t>
      </w:r>
      <w:r>
        <w:rPr>
          <w:rFonts w:ascii="Times New Roman" w:eastAsia="Times New Roman" w:hAnsi="Times New Roman"/>
          <w:i/>
          <w:sz w:val="24"/>
          <w:szCs w:val="25"/>
          <w:lang w:eastAsia="ru-RU"/>
        </w:rPr>
        <w:t>Ключевые слова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) Далее ключевые слова на английском языке (</w:t>
      </w:r>
      <w:r>
        <w:rPr>
          <w:rFonts w:ascii="Times New Roman" w:eastAsia="Times New Roman" w:hAnsi="Times New Roman"/>
          <w:i/>
          <w:sz w:val="24"/>
          <w:szCs w:val="25"/>
          <w:lang w:val="en-US" w:eastAsia="ru-RU"/>
        </w:rPr>
        <w:t>Keywords</w:t>
      </w: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) 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 xml:space="preserve">Далее следует текст статьи (высота шрифта – 12 пт., интервал – 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одинарный</w:t>
      </w:r>
      <w:r>
        <w:rPr>
          <w:rFonts w:ascii="Times New Roman" w:eastAsia="Times New Roman" w:hAnsi="Times New Roman"/>
          <w:sz w:val="24"/>
          <w:szCs w:val="25"/>
          <w:lang w:eastAsia="ru-RU"/>
        </w:rPr>
        <w:t>).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</w:p>
    <w:p>
      <w:pPr>
        <w:pStyle w:val="style0"/>
        <w:widowControl w:val="false"/>
        <w:shd w:val="clear" w:color="auto" w:fill="ffffff"/>
        <w:tabs>
          <w:tab w:val="left" w:leader="none" w:pos="6120"/>
        </w:tabs>
        <w:suppressAutoHyphens/>
        <w:spacing w:after="0" w:lineRule="auto" w:line="240"/>
        <w:ind w:left="14" w:right="24"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sz w:val="24"/>
          <w:szCs w:val="25"/>
          <w:lang w:eastAsia="ru-RU"/>
        </w:rPr>
        <w:t xml:space="preserve">Завершает статью список использованных источников, который приводится в порядке упоминания в тексте и оформляется в соответствии с ГОСТ. 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b/>
          <w:i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5"/>
          <w:lang w:eastAsia="ru-RU"/>
        </w:rPr>
        <w:t xml:space="preserve">Примеры оформления можно посмотреть здесь: 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http://biblio.mgudt.ru/jirbis2/files/authors/Primery%20bibliograficheskogo%20opisanija%20072022.pdf</w:t>
      </w:r>
    </w:p>
    <w:p>
      <w:pPr>
        <w:pStyle w:val="style0"/>
        <w:spacing w:after="0" w:lineRule="auto" w:line="240"/>
        <w:ind w:firstLine="567"/>
        <w:jc w:val="both"/>
        <w:rPr>
          <w:rFonts w:ascii="Times New Roman" w:eastAsia="Times New Roman" w:hAnsi="Times New Roman"/>
          <w:b/>
          <w:i/>
          <w:sz w:val="24"/>
          <w:szCs w:val="25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5"/>
          <w:lang w:eastAsia="ru-RU"/>
        </w:rPr>
        <w:t xml:space="preserve">Правила оформления библиографии: </w:t>
      </w: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  <w:r>
        <w:rPr>
          <w:rFonts w:ascii="Times New Roman" w:eastAsia="Times New Roman" w:hAnsi="Times New Roman"/>
          <w:sz w:val="24"/>
          <w:szCs w:val="25"/>
          <w:lang w:eastAsia="ru-RU"/>
        </w:rPr>
        <w:t>http://biblio.mgudt.ru/jirbis2/index.php?option=com_content&amp;view=article&amp;id=17&amp;Itemid=402</w:t>
      </w: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sz w:val="24"/>
          <w:szCs w:val="25"/>
          <w:lang w:eastAsia="ru-RU"/>
        </w:rPr>
      </w:pP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Статьи, оформленные не по требованиям, будут возвращаться на доработку или не примутся к публикации.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Антиплагиат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проверяем выборочно статьи (не менее 70% оригинальности) и весь сборник!!!! </w:t>
      </w: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>
      <w:pPr>
        <w:pStyle w:val="style0"/>
        <w:spacing w:after="0" w:lineRule="auto" w:line="2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>
      <w:pPr>
        <w:pStyle w:val="style0"/>
        <w:spacing w:after="0" w:lineRule="auto" w:line="240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Ниже см. пример оформления статьи!</w:t>
      </w:r>
    </w:p>
    <w:p>
      <w:pPr>
        <w:pStyle w:val="style0"/>
        <w:spacing w:after="0" w:lineRule="auto" w:line="240"/>
        <w:jc w:val="center"/>
        <w:rPr>
          <w:rFonts w:ascii="Times New Roman" w:eastAsia="SimSun" w:hAnsi="Times New Roman"/>
          <w:b/>
          <w:kern w:val="1"/>
          <w:sz w:val="36"/>
          <w:szCs w:val="24"/>
          <w:lang w:bidi="hi-IN" w:eastAsia="zh-CN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  <w:r>
        <w:rPr>
          <w:rFonts w:ascii="Times New Roman" w:eastAsia="SimSun" w:hAnsi="Times New Roman"/>
          <w:b/>
          <w:kern w:val="1"/>
          <w:sz w:val="36"/>
          <w:szCs w:val="24"/>
          <w:lang w:bidi="hi-IN" w:eastAsia="zh-CN"/>
        </w:rPr>
        <w:t>Образец оформления статьи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b/>
          <w:kern w:val="1"/>
          <w:sz w:val="24"/>
          <w:szCs w:val="28"/>
          <w:lang w:bidi="hi-IN" w:eastAsia="zh-CN"/>
        </w:rPr>
      </w:pPr>
      <w:r>
        <w:rPr>
          <w:rFonts w:ascii="Times New Roman" w:eastAsia="SimSun" w:hAnsi="Times New Roman"/>
          <w:b/>
          <w:kern w:val="1"/>
          <w:sz w:val="24"/>
          <w:szCs w:val="28"/>
          <w:lang w:bidi="hi-IN" w:eastAsia="zh-CN"/>
        </w:rPr>
        <w:t>(приведен фрагмент статьи)</w:t>
      </w:r>
    </w:p>
    <w:p>
      <w:pPr>
        <w:pStyle w:val="style0"/>
        <w:widowControl w:val="false"/>
        <w:suppressAutoHyphens/>
        <w:spacing w:after="0" w:lineRule="auto" w:line="240"/>
        <w:jc w:val="right"/>
        <w:rPr>
          <w:rFonts w:ascii="Times New Roman" w:eastAsia="SimSun" w:hAnsi="Times New Roman"/>
          <w:b/>
          <w:kern w:val="1"/>
          <w:sz w:val="14"/>
          <w:szCs w:val="24"/>
          <w:lang w:bidi="hi-IN" w:eastAsia="zh-CN"/>
        </w:rPr>
      </w:pPr>
    </w:p>
    <w:p>
      <w:pPr>
        <w:pStyle w:val="style0"/>
        <w:widowControl w:val="false"/>
        <w:suppressAutoHyphens/>
        <w:spacing w:after="0" w:lineRule="auto" w:line="240"/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uppressAutoHyphens/>
        <w:spacing w:after="0" w:lineRule="auto" w:line="240"/>
        <w:rPr>
          <w:rFonts w:ascii="Times New Roman" w:eastAsia="Times New Roman" w:hAnsi="Times New Roman"/>
          <w:b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>УДК 677.074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b/>
          <w:kern w:val="1"/>
          <w:sz w:val="24"/>
          <w:szCs w:val="24"/>
          <w:shd w:val="clear" w:color="auto" w:fill="fdfdfd"/>
          <w:lang w:bidi="hi-IN" w:eastAsia="zh-CN"/>
        </w:rPr>
      </w:pPr>
      <w:r>
        <w:rPr>
          <w:rFonts w:ascii="Times New Roman" w:eastAsia="Times New Roman" w:hAnsi="Times New Roman"/>
          <w:b/>
          <w:kern w:val="1"/>
          <w:sz w:val="24"/>
          <w:szCs w:val="24"/>
          <w:lang w:bidi="hi-IN" w:eastAsia="zh-CN"/>
        </w:rPr>
        <w:t>ОСОБЕННОСТИ ПРОЦЕССА СУШКИ НЕТКАНЫХ МАТЕРИАЛОВ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b/>
          <w:kern w:val="1"/>
          <w:sz w:val="24"/>
          <w:szCs w:val="24"/>
          <w:shd w:val="clear" w:color="auto" w:fill="fdfdfd"/>
          <w:lang w:val="en-US" w:bidi="hi-IN" w:eastAsia="zh-CN"/>
        </w:rPr>
      </w:pPr>
      <w:r>
        <w:rPr>
          <w:rFonts w:ascii="Times New Roman" w:eastAsia="SimSun" w:hAnsi="Times New Roman"/>
          <w:b/>
          <w:kern w:val="1"/>
          <w:sz w:val="24"/>
          <w:szCs w:val="24"/>
          <w:shd w:val="clear" w:color="auto" w:fill="fdfdfd"/>
          <w:lang w:val="en-US" w:bidi="hi-IN" w:eastAsia="zh-CN"/>
        </w:rPr>
        <w:t>THE FEATURES OF THE DRYING PROCESS OF NONWOVEN T MATERIALS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b/>
          <w:kern w:val="1"/>
          <w:sz w:val="24"/>
          <w:szCs w:val="24"/>
          <w:shd w:val="clear" w:color="auto" w:fill="fdfdfd"/>
          <w:lang w:val="en-US" w:bidi="hi-IN" w:eastAsia="zh-CN"/>
        </w:rPr>
      </w:pP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>Рудобашта</w:t>
      </w: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 xml:space="preserve"> С.П.</w:t>
      </w:r>
      <w:r>
        <w:rPr>
          <w:rFonts w:ascii="Times New Roman" w:eastAsia="SimSun" w:hAnsi="Times New Roman"/>
          <w:b/>
          <w:kern w:val="1"/>
          <w:sz w:val="24"/>
          <w:szCs w:val="24"/>
          <w:vertAlign w:val="superscript"/>
          <w:lang w:bidi="hi-IN" w:eastAsia="zh-CN"/>
        </w:rPr>
        <w:t>1</w:t>
      </w: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>, Кошелева М.К.</w:t>
      </w:r>
      <w:r>
        <w:rPr>
          <w:rFonts w:ascii="Times New Roman" w:eastAsia="SimSun" w:hAnsi="Times New Roman"/>
          <w:b/>
          <w:kern w:val="1"/>
          <w:sz w:val="24"/>
          <w:szCs w:val="24"/>
          <w:vertAlign w:val="superscript"/>
          <w:lang w:bidi="hi-IN" w:eastAsia="zh-CN"/>
        </w:rPr>
        <w:t>2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b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/>
          <w:kern w:val="1"/>
          <w:sz w:val="24"/>
          <w:szCs w:val="24"/>
          <w:lang w:val="en-US" w:bidi="hi-IN" w:eastAsia="zh-CN"/>
        </w:rPr>
        <w:t>Rudobashta</w:t>
      </w:r>
      <w:r>
        <w:rPr>
          <w:rFonts w:ascii="Times New Roman" w:eastAsia="SimSun" w:hAnsi="Times New Roman"/>
          <w:b/>
          <w:kern w:val="1"/>
          <w:sz w:val="24"/>
          <w:szCs w:val="24"/>
          <w:lang w:val="en-US" w:bidi="hi-IN" w:eastAsia="zh-CN"/>
        </w:rPr>
        <w:t xml:space="preserve"> S.P.</w:t>
      </w:r>
      <w:r>
        <w:rPr>
          <w:rFonts w:ascii="Times New Roman" w:eastAsia="SimSun" w:hAnsi="Times New Roman"/>
          <w:b/>
          <w:kern w:val="1"/>
          <w:sz w:val="24"/>
          <w:szCs w:val="24"/>
          <w:vertAlign w:val="superscript"/>
          <w:lang w:val="en-US" w:bidi="hi-IN" w:eastAsia="zh-CN"/>
        </w:rPr>
        <w:t>1</w:t>
      </w:r>
      <w:r>
        <w:rPr>
          <w:rFonts w:ascii="Times New Roman" w:eastAsia="SimSun" w:hAnsi="Times New Roman"/>
          <w:b/>
          <w:kern w:val="1"/>
          <w:sz w:val="24"/>
          <w:szCs w:val="24"/>
          <w:lang w:val="en-US" w:bidi="hi-IN" w:eastAsia="zh-CN"/>
        </w:rPr>
        <w:t>, Kosheleva M.K.</w:t>
      </w:r>
      <w:r>
        <w:rPr>
          <w:rFonts w:ascii="Times New Roman" w:eastAsia="SimSun" w:hAnsi="Times New Roman"/>
          <w:b/>
          <w:kern w:val="1"/>
          <w:sz w:val="24"/>
          <w:szCs w:val="24"/>
          <w:vertAlign w:val="superscript"/>
          <w:lang w:val="en-US" w:bidi="hi-IN" w:eastAsia="zh-CN"/>
        </w:rPr>
        <w:t>2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b/>
          <w:kern w:val="1"/>
          <w:sz w:val="24"/>
          <w:szCs w:val="24"/>
          <w:lang w:val="en-US" w:bidi="hi-IN" w:eastAsia="zh-CN"/>
        </w:rPr>
      </w:pP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vertAlign w:val="superscript"/>
          <w:lang w:bidi="hi-IN" w:eastAsia="zh-CN"/>
        </w:rPr>
        <w:t>1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 xml:space="preserve"> Российский государственный аграрный университет – МСХА имени 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>К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.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>А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 xml:space="preserve">. 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>Тимирязева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 xml:space="preserve">, 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>Москва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vertAlign w:val="superscript"/>
          <w:lang w:val="en-US" w:bidi="hi-IN" w:eastAsia="zh-CN"/>
        </w:rPr>
        <w:t>1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 xml:space="preserve"> Russian state agrarian University – MAA after K. A. 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Timiryazev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, Moscow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(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e-mail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: rudobashta@mail.ru)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vertAlign w:val="superscript"/>
          <w:lang w:bidi="hi-IN" w:eastAsia="zh-CN"/>
        </w:rPr>
        <w:t>2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 xml:space="preserve"> Российский государственный университет им. А.Н. Косыгина, Москва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vertAlign w:val="superscript"/>
          <w:lang w:val="en-US" w:bidi="hi-IN" w:eastAsia="zh-CN"/>
        </w:rPr>
        <w:t>2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 xml:space="preserve"> The Kosygin State University of Russia, Moscow</w:t>
      </w:r>
    </w:p>
    <w:p>
      <w:pPr>
        <w:pStyle w:val="style0"/>
        <w:widowControl w:val="false"/>
        <w:suppressAutoHyphens/>
        <w:spacing w:after="0" w:lineRule="auto" w:line="240"/>
        <w:jc w:val="center"/>
        <w:rPr>
          <w:rFonts w:ascii="Times New Roman" w:eastAsia="Times New Roman" w:hAnsi="Times New Roman"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(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e-mail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: oxtpaxt@yandex.ru)</w:t>
      </w:r>
    </w:p>
    <w:p>
      <w:pPr>
        <w:pStyle w:val="style0"/>
        <w:widowControl w:val="false"/>
        <w:suppressAutoHyphens/>
        <w:spacing w:after="0" w:lineRule="auto" w:line="240"/>
        <w:jc w:val="both"/>
        <w:rPr>
          <w:rFonts w:ascii="Times New Roman" w:eastAsia="SimSun" w:hAnsi="Times New Roman"/>
          <w:b/>
          <w:i/>
          <w:kern w:val="1"/>
          <w:sz w:val="24"/>
          <w:szCs w:val="24"/>
          <w:lang w:val="en-US" w:bidi="hi-IN" w:eastAsia="zh-CN"/>
        </w:rPr>
      </w:pPr>
    </w:p>
    <w:p>
      <w:pPr>
        <w:pStyle w:val="style0"/>
        <w:widowControl w:val="false"/>
        <w:suppressAutoHyphens/>
        <w:spacing w:after="0" w:lineRule="auto" w:line="240"/>
        <w:jc w:val="both"/>
        <w:rPr>
          <w:rFonts w:ascii="Times New Roman" w:eastAsia="SimSun" w:hAnsi="Times New Roman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>Аннотация</w:t>
      </w: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>.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 xml:space="preserve"> Рассмотрены некоторые особенности сушки нетканых клеёных материалов, приведены результаты экспериментального исследования свойств материала как объекта сушки и кинетики его конвективной сушки в лабораторных условиях.</w:t>
      </w:r>
    </w:p>
    <w:p>
      <w:pPr>
        <w:pStyle w:val="style0"/>
        <w:widowControl w:val="false"/>
        <w:suppressAutoHyphens/>
        <w:spacing w:after="0" w:lineRule="auto" w:line="240"/>
        <w:jc w:val="both"/>
        <w:rPr>
          <w:rFonts w:ascii="Times New Roman" w:eastAsia="SimSun" w:hAnsi="Times New Roman"/>
          <w:kern w:val="24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/>
          <w:kern w:val="24"/>
          <w:sz w:val="24"/>
          <w:szCs w:val="24"/>
          <w:lang w:val="en-US" w:bidi="hi-IN" w:eastAsia="zh-CN"/>
        </w:rPr>
        <w:t>Abstract</w:t>
      </w:r>
      <w:r>
        <w:rPr>
          <w:rFonts w:ascii="Times New Roman" w:eastAsia="SimSun" w:hAnsi="Times New Roman"/>
          <w:b/>
          <w:kern w:val="24"/>
          <w:sz w:val="24"/>
          <w:szCs w:val="24"/>
          <w:lang w:val="en-US" w:bidi="hi-IN" w:eastAsia="zh-CN"/>
        </w:rPr>
        <w:t>.</w:t>
      </w:r>
      <w:r>
        <w:rPr>
          <w:rFonts w:ascii="Times New Roman" w:eastAsia="SimSun" w:hAnsi="Times New Roman"/>
          <w:color w:val="222222"/>
          <w:kern w:val="24"/>
          <w:sz w:val="24"/>
          <w:szCs w:val="24"/>
          <w:shd w:val="clear" w:color="auto" w:fill="fdfdfd"/>
          <w:lang w:val="en-US" w:bidi="hi-IN" w:eastAsia="zh-CN"/>
        </w:rPr>
        <w:t xml:space="preserve"> </w:t>
      </w:r>
      <w:r>
        <w:rPr>
          <w:rFonts w:ascii="Times New Roman" w:eastAsia="SimSun" w:hAnsi="Times New Roman"/>
          <w:kern w:val="24"/>
          <w:sz w:val="24"/>
          <w:szCs w:val="24"/>
          <w:lang w:val="en-US" w:bidi="hi-IN" w:eastAsia="zh-CN"/>
        </w:rPr>
        <w:t xml:space="preserve">Some features of the drying process of nonwoven laminated materials were </w:t>
      </w:r>
      <w:r>
        <w:rPr>
          <w:rFonts w:ascii="Times New Roman" w:eastAsia="SimSun" w:hAnsi="Times New Roman"/>
          <w:kern w:val="24"/>
          <w:sz w:val="24"/>
          <w:szCs w:val="24"/>
          <w:lang w:val="en-US" w:bidi="hi-IN" w:eastAsia="zh-CN"/>
        </w:rPr>
        <w:t>researched,</w:t>
      </w:r>
      <w:r>
        <w:rPr>
          <w:rFonts w:ascii="Times New Roman" w:eastAsia="SimSun" w:hAnsi="Times New Roman"/>
          <w:kern w:val="24"/>
          <w:sz w:val="24"/>
          <w:szCs w:val="24"/>
          <w:lang w:val="en-US" w:bidi="hi-IN" w:eastAsia="zh-CN"/>
        </w:rPr>
        <w:t xml:space="preserve"> the results of experimental study of the properties of the material as an object of drying and the kinetics of its convective drying in laboratory conditions were shown.</w:t>
      </w:r>
    </w:p>
    <w:p>
      <w:pPr>
        <w:pStyle w:val="style0"/>
        <w:widowControl w:val="false"/>
        <w:suppressAutoHyphens/>
        <w:spacing w:after="0" w:lineRule="auto" w:line="240"/>
        <w:jc w:val="both"/>
        <w:rPr>
          <w:rFonts w:ascii="Times New Roman" w:eastAsia="SimSun" w:hAnsi="Times New Roman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kern w:val="1"/>
          <w:sz w:val="24"/>
          <w:szCs w:val="24"/>
          <w:lang w:bidi="hi-IN" w:eastAsia="zh-CN"/>
        </w:rPr>
        <w:t>Ключевые слова: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 xml:space="preserve"> нетканые клеёные материалы, объект сушки, кинетика сушки.</w:t>
      </w:r>
    </w:p>
    <w:p>
      <w:pPr>
        <w:pStyle w:val="style0"/>
        <w:widowControl w:val="false"/>
        <w:suppressAutoHyphens/>
        <w:spacing w:after="0" w:lineRule="auto" w:line="240"/>
        <w:jc w:val="both"/>
        <w:rPr>
          <w:rFonts w:ascii="Times New Roman" w:eastAsia="SimSun" w:hAnsi="Times New Roman"/>
          <w:i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/>
          <w:kern w:val="1"/>
          <w:sz w:val="24"/>
          <w:szCs w:val="24"/>
          <w:lang w:val="en-US" w:bidi="hi-IN" w:eastAsia="zh-CN"/>
        </w:rPr>
        <w:t>Keywords:</w:t>
      </w:r>
      <w:r>
        <w:rPr>
          <w:rFonts w:ascii="Times New Roman" w:eastAsia="SimSun" w:hAnsi="Times New Roman"/>
          <w:color w:val="222222"/>
          <w:kern w:val="1"/>
          <w:sz w:val="24"/>
          <w:szCs w:val="24"/>
          <w:shd w:val="clear" w:color="auto" w:fill="fdfdfd"/>
          <w:lang w:val="en-US" w:bidi="hi-IN" w:eastAsia="zh-CN"/>
        </w:rPr>
        <w:t xml:space="preserve"> 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 xml:space="preserve">nonwoven laminated materials, the drying object, 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>the</w:t>
      </w:r>
      <w:r>
        <w:rPr>
          <w:rFonts w:ascii="Times New Roman" w:eastAsia="SimSun" w:hAnsi="Times New Roman"/>
          <w:kern w:val="1"/>
          <w:sz w:val="24"/>
          <w:szCs w:val="24"/>
          <w:lang w:val="en-US" w:bidi="hi-IN" w:eastAsia="zh-CN"/>
        </w:rPr>
        <w:t xml:space="preserve"> drying kinetics.</w:t>
      </w:r>
    </w:p>
    <w:p>
      <w:pPr>
        <w:pStyle w:val="style0"/>
        <w:widowControl w:val="false"/>
        <w:suppressAutoHyphens/>
        <w:spacing w:after="0" w:lineRule="auto" w:line="240"/>
        <w:jc w:val="both"/>
        <w:rPr>
          <w:rFonts w:ascii="Times New Roman" w:eastAsia="SimSun" w:hAnsi="Times New Roman"/>
          <w:i/>
          <w:kern w:val="1"/>
          <w:sz w:val="24"/>
          <w:szCs w:val="24"/>
          <w:lang w:val="en-US"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right="82" w:firstLine="567"/>
        <w:jc w:val="both"/>
        <w:rPr>
          <w:rFonts w:ascii="Times New Roman" w:eastAsia="SimSun" w:hAnsi="Times New Roman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>Увеличение объемов выпуска нетканых клеёных материалов - НКМ различного назначения связано с повышением эффективности всех технологических процессов их получения, при этом лимитирующим часто является процесс сушки. Кроме того, процесс сушки во многом определяет качество готового материала и энергетические затраты на его производство.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5" w:firstLine="562"/>
        <w:jc w:val="both"/>
        <w:rPr>
          <w:rFonts w:ascii="Times New Roman" w:eastAsia="SimSun" w:hAnsi="Times New Roman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>Основой НКМ, как и тканей, являются различные текстильные волокна, во многом определяющие свойства НКМ.</w:t>
      </w:r>
      <w:r>
        <w:rPr>
          <w:rFonts w:ascii="Times New Roman" w:eastAsia="Times New Roman" w:hAnsi="Times New Roman"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>При изготовлении волокнистой основы НКМ используются натуральные, искусственные и синтетические волокна. Широкое применение химических волокон является одним из важных направлений в развитии ассортимента нетканых материалов.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5" w:firstLine="562"/>
        <w:jc w:val="both"/>
        <w:rPr>
          <w:rFonts w:ascii="Times New Roman" w:eastAsia="SimSun" w:hAnsi="Times New Roman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>………………………………………………………………………………………………….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firstLine="567"/>
        <w:jc w:val="both"/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Для различных образцов НКМ были рассчитаны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[1-3] основные сорбционно-структурные характеристики, представленные в таблице 1.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firstLine="567"/>
        <w:jc w:val="both"/>
        <w:rPr>
          <w:rFonts w:ascii="Times New Roman" w:eastAsia="SimSun" w:hAnsi="Times New Roman"/>
          <w:color w:val="000000"/>
          <w:kern w:val="1"/>
          <w:sz w:val="20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right="-2"/>
        <w:jc w:val="both"/>
        <w:rPr>
          <w:rFonts w:ascii="Times New Roman" w:eastAsia="SimSun" w:hAnsi="Times New Roman"/>
          <w:color w:val="000000"/>
          <w:w w:val="70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4"/>
          <w:szCs w:val="24"/>
          <w:lang w:bidi="hi-IN" w:eastAsia="zh-CN"/>
        </w:rPr>
        <w:t>Таблица 1 – Основные сорбционно-структурные характеристики НКМ</w:t>
      </w:r>
    </w:p>
    <w:tbl>
      <w:tblPr>
        <w:tblW w:w="0" w:type="auto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87"/>
        <w:gridCol w:w="2451"/>
        <w:gridCol w:w="1869"/>
        <w:gridCol w:w="2909"/>
      </w:tblGrid>
      <w:tr>
        <w:trPr>
          <w:trHeight w:val="682" w:hRule="exact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Состав образца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Средний радиус пор, нм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Объем пор, cм</w:t>
            </w: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vertAlign w:val="superscript"/>
                <w:lang w:bidi="hi-IN" w:eastAsia="zh-CN"/>
              </w:rPr>
              <w:t>3</w:t>
            </w: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/кг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Удельная поверхность, м</w:t>
            </w: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vertAlign w:val="superscript"/>
                <w:lang w:bidi="hi-IN" w:eastAsia="zh-CN"/>
              </w:rPr>
              <w:t>2</w:t>
            </w: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/г</w:t>
            </w:r>
          </w:p>
        </w:tc>
      </w:tr>
      <w:tr>
        <w:tblPrEx/>
        <w:trPr>
          <w:trHeight w:val="1203" w:hRule="exact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волокнистый холст:</w:t>
            </w: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в - 70%, л - 30%</w:t>
            </w: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НКМ: лавсан (л) - 100%,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hd w:val="clear" w:color="auto" w:fill="ffffff"/>
              <w:suppressAutoHyphens/>
              <w:snapToGrid w:val="false"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1.91</w:t>
            </w: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6.14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hd w:val="clear" w:color="auto" w:fill="ffffff"/>
              <w:suppressAutoHyphens/>
              <w:snapToGrid w:val="false"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145</w:t>
            </w: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55.6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style0"/>
              <w:widowControl w:val="false"/>
              <w:shd w:val="clear" w:color="auto" w:fill="ffffff"/>
              <w:suppressAutoHyphens/>
              <w:snapToGrid w:val="false"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151.7</w:t>
            </w: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</w:p>
          <w:p>
            <w:pPr>
              <w:pStyle w:val="style0"/>
              <w:widowControl w:val="false"/>
              <w:shd w:val="clear" w:color="auto" w:fill="ffffff"/>
              <w:suppressAutoHyphens/>
              <w:spacing w:after="0" w:lineRule="auto" w:line="240"/>
              <w:jc w:val="center"/>
              <w:rPr>
                <w:rFonts w:ascii="Times New Roman" w:eastAsia="SimSun" w:hAnsi="Times New Roman"/>
                <w:kern w:val="1"/>
                <w:sz w:val="24"/>
                <w:szCs w:val="24"/>
                <w:lang w:bidi="hi-IN" w:eastAsia="zh-CN"/>
              </w:rPr>
            </w:pPr>
            <w:r>
              <w:rPr>
                <w:rFonts w:ascii="Times New Roman" w:eastAsia="SimSun" w:hAnsi="Times New Roman"/>
                <w:color w:val="000000"/>
                <w:kern w:val="1"/>
                <w:sz w:val="24"/>
                <w:szCs w:val="24"/>
                <w:lang w:bidi="hi-IN" w:eastAsia="zh-CN"/>
              </w:rPr>
              <w:t>18.1</w:t>
            </w:r>
          </w:p>
        </w:tc>
      </w:tr>
    </w:tbl>
    <w:p>
      <w:pPr>
        <w:pStyle w:val="style0"/>
        <w:widowControl w:val="false"/>
        <w:shd w:val="clear" w:color="auto" w:fill="ffffff"/>
        <w:suppressAutoHyphens/>
        <w:spacing w:after="0" w:lineRule="auto" w:line="240"/>
        <w:rPr>
          <w:rFonts w:ascii="Times New Roman" w:eastAsia="SimSun" w:hAnsi="Times New Roman"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firstLine="567"/>
        <w:jc w:val="both"/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 xml:space="preserve">Текст 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текст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 xml:space="preserve"> текст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………………………………………………………………………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…….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firstLine="547"/>
        <w:jc w:val="both"/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 xml:space="preserve">Исследование кинетики конвективной сушки в зависимости от режимных параметров процесса проводилось для НКМ на основе волокнистого холста (вискоза-30%, лавсан-70%), пропитанного связующим на основе 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акронала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. Изменение скорости воздуха от 5 м/с (кривая 1) до 15 м/с (кривая 3), при одинаковой температуре равной 165°С , увеличивает интенсивность сушки приблизительно в 2,5 раза (кривая 2 соответствует скорости обдува 10 м/с) (рис. 1).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firstLine="544"/>
        <w:jc w:val="both"/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jc w:val="center"/>
        <w:rPr>
          <w:rFonts w:ascii="Times New Roman" w:eastAsia="SimSun" w:hAnsi="Times New Roman"/>
          <w:b/>
          <w:color w:val="000000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noProof/>
          <w:color w:val="000000"/>
          <w:kern w:val="1"/>
          <w:sz w:val="24"/>
          <w:szCs w:val="24"/>
          <w:lang w:eastAsia="ru-RU"/>
        </w:rPr>
        <w:drawing>
          <wp:inline distL="0" distT="0" distB="0" distR="0">
            <wp:extent cx="4057650" cy="2028825"/>
            <wp:effectExtent l="0" t="0" r="0" b="9525"/>
            <wp:docPr id="1026" name="Рисунок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057650" cy="2028825"/>
                    </a:xfrm>
                    <a:prstGeom prst="rect"/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jc w:val="center"/>
        <w:rPr>
          <w:rFonts w:ascii="Times New Roman" w:eastAsia="SimSun" w:hAnsi="Times New Roman"/>
          <w:b/>
          <w:color w:val="000000"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jc w:val="center"/>
        <w:rPr>
          <w:rFonts w:ascii="Times New Roman" w:eastAsia="SimSun" w:hAnsi="Times New Roman"/>
          <w:b/>
          <w:color w:val="000000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4"/>
          <w:szCs w:val="24"/>
          <w:lang w:bidi="hi-IN" w:eastAsia="zh-CN"/>
        </w:rPr>
        <w:t>Рисунок1 – Кинетика конвективной сушки НКМ методом продольного обдува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jc w:val="center"/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4"/>
          <w:szCs w:val="24"/>
          <w:lang w:bidi="hi-IN" w:eastAsia="zh-CN"/>
        </w:rPr>
        <w:t>при разных скоростях воздуха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firstLine="547"/>
        <w:jc w:val="both"/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firstLine="567"/>
        <w:jc w:val="both"/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 xml:space="preserve">Время сушки НКМ, полученных пропиткой акриловым связующим, различных по составу волокнистых холстов при температуре 165°С и скорости воздуха 10 м/с, уменьшается с увеличением </w:t>
      </w: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 xml:space="preserve">содержания </w:t>
      </w:r>
      <w:r>
        <w:rPr>
          <w:rFonts w:ascii="Times New Roman" w:eastAsia="SimSun" w:hAnsi="Times New Roman"/>
          <w:kern w:val="1"/>
          <w:sz w:val="24"/>
          <w:szCs w:val="24"/>
          <w:shd w:val="clear" w:color="auto" w:fill="ffffff"/>
          <w:lang w:bidi="hi-IN" w:eastAsia="zh-CN"/>
        </w:rPr>
        <w:t>вискозы в его составе.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 xml:space="preserve"> …………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…</w:t>
      </w:r>
      <w:r>
        <w:rPr>
          <w:rFonts w:ascii="Times New Roman" w:eastAsia="SimSun" w:hAnsi="Times New Roman"/>
          <w:color w:val="000000"/>
          <w:kern w:val="1"/>
          <w:sz w:val="24"/>
          <w:szCs w:val="24"/>
          <w:lang w:bidi="hi-IN" w:eastAsia="zh-CN"/>
        </w:rPr>
        <w:t>…….……………………………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firstLine="567"/>
        <w:jc w:val="both"/>
        <w:rPr>
          <w:rFonts w:ascii="Times New Roman" w:eastAsia="SimSun" w:hAnsi="Times New Roman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kern w:val="1"/>
          <w:sz w:val="24"/>
          <w:szCs w:val="24"/>
          <w:lang w:bidi="hi-IN" w:eastAsia="zh-CN"/>
        </w:rPr>
        <w:t>В заключение статьи следует отметить, что …………………………………..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634"/>
        <w:jc w:val="center"/>
        <w:rPr>
          <w:rFonts w:ascii="Times New Roman" w:eastAsia="SimSun" w:hAnsi="Times New Roman"/>
          <w:b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kern w:val="1"/>
          <w:sz w:val="24"/>
          <w:szCs w:val="24"/>
          <w:lang w:bidi="hi-IN" w:eastAsia="zh-CN"/>
        </w:rPr>
        <w:t xml:space="preserve">Список использованных источников 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634"/>
        <w:jc w:val="center"/>
        <w:rPr>
          <w:rFonts w:ascii="Times New Roman" w:eastAsia="SimSun" w:hAnsi="Times New Roman"/>
          <w:b/>
          <w:bCs/>
          <w:color w:val="ff0000"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color w:val="ff0000"/>
          <w:kern w:val="1"/>
          <w:sz w:val="24"/>
          <w:szCs w:val="24"/>
          <w:lang w:bidi="hi-IN" w:eastAsia="zh-CN"/>
        </w:rPr>
        <w:t>(примеры оформления</w:t>
      </w:r>
      <w:r>
        <w:rPr>
          <w:rFonts w:ascii="Times New Roman" w:eastAsia="SimSun" w:hAnsi="Times New Roman"/>
          <w:b/>
          <w:bCs/>
          <w:color w:val="ff0000"/>
          <w:kern w:val="1"/>
          <w:sz w:val="24"/>
          <w:szCs w:val="24"/>
          <w:lang w:bidi="hi-IN" w:eastAsia="zh-CN"/>
        </w:rPr>
        <w:t xml:space="preserve"> приведены по видам публикаций</w:t>
      </w:r>
      <w:r>
        <w:rPr>
          <w:rFonts w:ascii="Times New Roman" w:eastAsia="SimSun" w:hAnsi="Times New Roman"/>
          <w:b/>
          <w:bCs/>
          <w:color w:val="ff0000"/>
          <w:kern w:val="1"/>
          <w:sz w:val="24"/>
          <w:szCs w:val="24"/>
          <w:lang w:bidi="hi-IN" w:eastAsia="zh-CN"/>
        </w:rPr>
        <w:t>)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Нормативно-правовые документы (примеры оформления):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1. ГОСТ 7.0.96—2016 Система стандартов по информации, библиотечному и издательскому делу. Электронные библиотеки. Основные виды. Структура. Технология формирования. — М.: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Стандартинформ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, 2016. — 12 с. 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2. ГОСТ 17916–86 Фигуры девочек типовые. Размерные признаки для проектирования одежды. – М.: ИПК Издательство стандартов, 2001. – 105с.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3. ISO 25964-1:2011. Information and documentation — Thesauri and interoperability with other vocabularies — Part 1: Thesauri for information retrieval. — URL: http://www.iso.org/iso/catalogue_detail.htm?csnumber=53657 (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дата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обращения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: 20.10.2016).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4. Приказ Минобразования РФ от 19 декабря 2013 г. № 1367 «Об утверждении Порядка организации и осуществления образовательной деятельности по образовательным программам высшего образования — программам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бакалавриата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, программам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специалитета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, программам магистратуры». — URL: http://www. consultant.ru/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document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/cons_doc_LAW_159671 / (дата обращения: 04.08.2016). 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5. Стратегия развития легкой промышленности России на период до 2020 года / Утв. Приказом Министерства промышленности и торговли РФ от 24 сентября 2009 г. № 853.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6. Указ Президента Российской Федерации от 21 марта 2014г. № 168 «Об образовании Крымского федерального округа».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7. Федеральный конституционный закон Российской Федерации от 21 марта 2014 г. № 6–ФКЗ «О принятии в Российскую Федерацию Республики Крым и образовании в составе Российской Федерации новых субъектов – Республики Крым и города федерального значения Севастополя»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Книги, монографии, учебные пособия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8.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Алдрич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У. Английский метод конструирования и моделирования. Женская одежда / пер. с англ. – М.: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Эдипресс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–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Конлига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, 2013. – 216с.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9. Башкиров П.Н. Учение о физическом развитии человека. - М.: МГУ, 1928. – 320с.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10. Лермонтов, М.Ю. Собрание сочинений: в 4 т. / Михаил Юрьевич Лермонтов; [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коммент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. И.Андроникова]. - М.: Терра-Кн. клуб, 2009. - 4 т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Диссертации (примеры оформления):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11. Баранов А.А. Антропометрические характеристики культуристов и методика количественной оценки их соревновательных достижений: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дис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… канд.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пед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. наук: 14.00.02/ МГАФК, Москва, 1999. – 196с.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12. Киселева М.В. Разработка параметрического метода 3D моделирования женских поясных изделий: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дис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….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канд.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техн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. наук: 05.19.04 / МГУДТ, Москва, 2011. – 232с.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13.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Лагкуева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И.В. Особенности регулирования труда творческих работников театров: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дис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... канд.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юрид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наук: 12.00.05 /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Лагкуева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Ирина Владимировна. - М., 2009. - 168 с. 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14. Покровский А.В. Устранимые особенности решений эллиптических уравнений: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дис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... д-ра физ.-мат. наук: 01.01.01 / Покровский Андрей Владимирович. – М., 2008. – 178 с. 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Авторефераты диссертаций (примеры оформления):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15. Сиротко В.В. Медико-социальные аспекты городского травматизма в современных условиях: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автореф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дис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... канд. мед. наук: 14.00.33 / Сиротко Владимир Викторович. - М., 2006. - 17 с. 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16. Лукина В.А. Творческая история "Записок охотника"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И.С.Тургенева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автореф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дис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... канд.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филол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наук: 10.01.01 / Лукина Валентина Александровна. - СПб., 2006. - 26 с. 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Отчеты о научно-исследовательской работе (примеры оформления)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16. Методология и методы изучения военно-профессиональной направленности подростков: отчет о НИР /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Загорюев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А.Л. - Екатеринбург: Уральский институт практической психологии, 2008. - 102 с.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Российская периодическая литература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17. Бахтина Е.Ю.,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Сурженко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Е.Я. Эргономические исследования и совершенствование конструкций специальной одежды для женщин // Технология текстильной промышленности. 2000, №3 (255) – С.87-89.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18.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Бунак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В.В. Опыт типологии пропорций тела и стандартизации главных антропометрических размеров // Учёные записки МГУ. 1937, Вып.10. – С.100.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19.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Бунак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В.В. Теоретические вопросы о физическом развитии и его типах у человека // Учёные записки МГУ. 1940,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Вып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. 36. – С.7-9.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/>
          <w:bCs/>
          <w:i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Зарубежные</w:t>
      </w: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val="en-US" w:bidi="hi-IN" w:eastAsia="zh-CN"/>
        </w:rPr>
        <w:t xml:space="preserve"> </w:t>
      </w: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статьи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20. Ashdown S.P.,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Loker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S., Adelson C. Use of Body Scan Data to Design Sizing Systems Based on Target Markets // National Textile Center Research Briefs – Management Systems Competency: June 2004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21. Ashdown S.P., Mete F. Development of Visual Fit Assessment Tool for Apparel Firms // National Textile Center Annual Report: October 2010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22. Choi S., Ashdown S.P. 3D body scan analysis of dimensional change in lower body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measurements for active body positions // Textile Research Journal, January 2011; Vol. 81, 1: pp. 81–93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23.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Deepti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Gupta. Design and engineering of functional clothing//Indian Journal of Fiber and Textile Research, 2011; Vol. 36, pp. 327–335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24. Hsiao H.,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Bradtmiller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B., Whitestone J. Sizing and fit of fall – protection harnesses // Ergonomics. – 2003, Vol.46, Is.12. – P.1233–1258.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25. Jan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Kuschan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, Henning Schmidt,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Jorg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Kruger Analysis of ergonomic and non ergonomic human lifting behaviors by using Inertial Measurement Units // Current Directions in Biomedical Engineering – 2017, Vol. 3 (1): pp. 7–10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26.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Khaldon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Yosouf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,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Hadj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Latroch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, Laurence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Schacher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, Dominique C.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Adolphe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, Emilie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Drean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, V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й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ronique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Zimpfer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. Frictional sound analysis by simulating the human arm movement. //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Autex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Research Journal – 2017, Vol. 17, № 1: pp. 12–19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27. Lee Y., Hong K. Development of indirect method for clothing pressure measurement using three – dimensional imaging // Textile Research Journal, September 2013; Vol. 83, 15: pp. 1594–1605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28. Lu Y., Song G., Li J.A Novel Approach for Fit Analysis of Protective Clothing Using Three – Dimensional Body Scanning // 4th International Conference on 3D Body Scanning Technologies Long Beach CA, USA, 19–20 November 2013.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Патенты, свидетельства.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29. Патент на изобретение № 202760254 (U) CN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Detachable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school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uniform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Школьная форма со съемными деталями /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Yang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Hongguang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; патентообладатель: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Yang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Hongguang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;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заявл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25.06.2012;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опубл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.: 06.03.2013, класс МПК A41D29/00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30. Патент на изобретение № 203015922 (U) CN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Male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school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uniform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Школьная форма для мальчиков /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Tian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Jinzhi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,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Gao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Feng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; патентообладатель: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Shandong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Vocational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COLSCI;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заявл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06. 10.2012;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опубл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.: 26.06.2013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31. Патент на изобретение № 204467034 (U) CN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Novel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school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uniform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Школьная форма нового образца /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Ma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Youran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; патентообладатель: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Ma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Youran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;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заявл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.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24.12.2014;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опубл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.: 15.07.2015, A41D27/00; A41D29/00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32.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Патент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на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изобретение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№ 204467035 (U) CN Coat of school uniform.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Пальто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школьное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/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Bi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Changming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;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патентообладатель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: Bi 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Changming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;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заявл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. 20.12.2014;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опубл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>.:</w:t>
      </w:r>
      <w:r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  <w:t xml:space="preserve"> 15.07.2015, A41D29/00.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val="en-US"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/>
          <w:bCs/>
          <w:i/>
          <w:kern w:val="1"/>
          <w:sz w:val="24"/>
          <w:szCs w:val="24"/>
          <w:lang w:bidi="hi-IN" w:eastAsia="zh-CN"/>
        </w:rPr>
        <w:t>Электронные ресурсы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33. Портал «Православие и мир». Облачения священника. [Электронный ресурс] URL: https://www.pravmir.ru/svyashhennye-oblacheniya (дата обращения 29.01.2019).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34. Иконография восточно-христианского искусства. Проект Научного отдела Факультета церковных художеств Православного Свято-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Тихоновского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 гуманитарного университета. [Электронный ресурс] URL: http://icons.pstgu.ru/needlework?page=6&amp;per-page=40 (дата обращения 29.01.2019).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35. 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Embroidery-Digitizing</w:t>
      </w: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. Машинная вышивка. Разработка и технологии. Вопросы и ответы. Теории и практики. [Электронный ресурс] URL: http://embroidery-digitizing.ru/testiruem-natyazhenie-verxnej-i-nizhnej-niti-mashiny/ (дата обращения 29.01.2019).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36. Стабилизаторы для машинной вышивки. Классификация. [Электронный ресурс] URL: http://broidery.ru/?p=286 (дата обращения 29.01.2019).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 xml:space="preserve">37. Виды стабилизаторов для машинной вышивки. [Электронный ресурс] URL: https://уроки-вышивки.рф/?page_id=958 (дата обращения 24.02.2019) </w:t>
      </w:r>
    </w:p>
    <w:p>
      <w:pPr>
        <w:pStyle w:val="style0"/>
        <w:widowControl w:val="false"/>
        <w:shd w:val="clear" w:color="auto" w:fill="ffffff"/>
        <w:suppressAutoHyphens/>
        <w:spacing w:after="0" w:lineRule="auto" w:line="240"/>
        <w:ind w:left="14" w:right="24" w:firstLine="567"/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</w:pPr>
      <w:r>
        <w:rPr>
          <w:rFonts w:ascii="Times New Roman" w:eastAsia="SimSun" w:hAnsi="Times New Roman"/>
          <w:bCs/>
          <w:kern w:val="1"/>
          <w:sz w:val="24"/>
          <w:szCs w:val="24"/>
          <w:lang w:bidi="hi-IN" w:eastAsia="zh-CN"/>
        </w:rPr>
        <w:t>38. Магазин HTR. Интернет-магазин хобби, творчества, рукоделия. Стабилизаторы. [Электронный ресурс] URL: https://shop.hackthereality.com/vyshivka/stabilizatory (дата обращения 24.02.2019)</w:t>
      </w:r>
    </w:p>
    <w:sectPr>
      <w:pgSz w:w="11906" w:h="16838" w:orient="portrait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005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0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004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E26D860"/>
    <w:lvl w:ilvl="0" w:tplc="C2386DD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0000001"/>
    <w:multiLevelType w:val="hybridMultilevel"/>
    <w:tmpl w:val="4EE63582"/>
    <w:lvl w:ilvl="0" w:tplc="C2386DDC">
      <w:start w:val="4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ru-RU" w:bidi="ar-SA" w:eastAsia="ru-RU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  <w:lang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next w:val="style85"/>
    <w:uiPriority w:val="99"/>
    <w:rPr>
      <w:rFonts w:cs="Times New Roman"/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99"/>
    <w:pPr>
      <w:ind w:left="720"/>
      <w:contextualSpacing/>
    </w:pPr>
    <w:rPr/>
  </w:style>
  <w:style w:type="paragraph" w:customStyle="1" w:styleId="style4097">
    <w:name w:val="Default"/>
    <w:next w:val="style4097"/>
    <w:uiPriority w:val="99"/>
    <w:pPr>
      <w:autoSpaceDE w:val="false"/>
      <w:autoSpaceDN w:val="false"/>
      <w:adjustRightInd w:val="false"/>
    </w:pPr>
    <w:rPr>
      <w:rFonts w:ascii="Times New Roman" w:hAnsi="Times New Roman"/>
      <w:color w:val="000000"/>
      <w:sz w:val="24"/>
      <w:szCs w:val="24"/>
    </w:rPr>
  </w:style>
  <w:style w:type="character" w:customStyle="1" w:styleId="style4098">
    <w:name w:val="Неразрешенное упоминание1"/>
    <w:next w:val="style4098"/>
    <w:uiPriority w:val="99"/>
    <w:rPr>
      <w:color w:val="605e5c"/>
      <w:shd w:val="clear" w:color="auto" w:fill="e1dfdd"/>
    </w:rPr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Текст выноски Знак"/>
    <w:basedOn w:val="style65"/>
    <w:next w:val="style4099"/>
    <w:link w:val="style153"/>
    <w:uiPriority w:val="99"/>
    <w:rPr>
      <w:rFonts w:ascii="Tahoma" w:cs="Tahoma" w:hAnsi="Tahoma"/>
      <w:sz w:val="16"/>
      <w:szCs w:val="16"/>
      <w:lang w:eastAsia="en-US"/>
    </w:rPr>
  </w:style>
  <w:style w:type="character" w:styleId="style86">
    <w:name w:val="FollowedHyperlink"/>
    <w:basedOn w:val="style65"/>
    <w:next w:val="style86"/>
    <w:uiPriority w:val="99"/>
    <w:rPr>
      <w:color w:val="800080"/>
      <w:u w:val="single"/>
    </w:rPr>
  </w:style>
  <w:style w:type="table" w:customStyle="1" w:styleId="style4100">
    <w:name w:val="Сетка таблицы1"/>
    <w:basedOn w:val="style105"/>
    <w:next w:val="style154"/>
    <w:uiPriority w:val="59"/>
    <w:pPr/>
    <w:rPr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table" w:styleId="style154">
    <w:name w:val="Table Grid"/>
    <w:basedOn w:val="style105"/>
    <w:next w:val="style154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Words>2202</Words>
  <Pages>8</Pages>
  <Characters>15314</Characters>
  <Application>WPS Office</Application>
  <DocSecurity>0</DocSecurity>
  <Paragraphs>266</Paragraphs>
  <ScaleCrop>false</ScaleCrop>
  <Company>Grizli777</Company>
  <LinksUpToDate>false</LinksUpToDate>
  <CharactersWithSpaces>17403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2025-10-11T14:59:00Z</dcterms:created>
  <dc:creator>Verador</dc:creator>
  <lastModifiedBy>SM-A315F</lastModifiedBy>
  <dcterms:modified xsi:type="dcterms:W3CDTF">2025-10-17T13:05:20Z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4bce2893a04942a6958e5a2585443c3d</vt:lpwstr>
  </property>
</Properties>
</file>